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CB10B6D" w:rsidR="003B5F8E" w:rsidRPr="00077C5A" w:rsidRDefault="00CF0C98" w:rsidP="003B5F8E">
      <w:pPr>
        <w:widowControl w:val="0"/>
        <w:jc w:val="center"/>
        <w:rPr>
          <w:rFonts w:ascii="Times New Roman" w:hAnsi="Times New Roman" w:cs="Times New Roman"/>
          <w:bCs/>
          <w:sz w:val="24"/>
          <w:szCs w:val="24"/>
        </w:rPr>
      </w:pPr>
      <w:r w:rsidRPr="00A209B6">
        <w:rPr>
          <w:rFonts w:ascii="Times New Roman" w:hAnsi="Times New Roman" w:cs="Times New Roman"/>
          <w:bCs/>
          <w:sz w:val="24"/>
          <w:szCs w:val="24"/>
        </w:rPr>
        <w:t>20</w:t>
      </w:r>
      <w:r w:rsidR="00E271AE" w:rsidRPr="00A209B6">
        <w:rPr>
          <w:rFonts w:ascii="Times New Roman" w:hAnsi="Times New Roman" w:cs="Times New Roman"/>
          <w:bCs/>
          <w:sz w:val="24"/>
          <w:szCs w:val="24"/>
        </w:rPr>
        <w:t>2</w:t>
      </w:r>
      <w:r w:rsidR="00A209B6" w:rsidRPr="00A209B6">
        <w:rPr>
          <w:rFonts w:ascii="Times New Roman" w:hAnsi="Times New Roman" w:cs="Times New Roman"/>
          <w:bCs/>
          <w:sz w:val="24"/>
          <w:szCs w:val="24"/>
        </w:rPr>
        <w:t>3-03</w:t>
      </w:r>
      <w:r w:rsidR="006B6ECD">
        <w:rPr>
          <w:rFonts w:ascii="Times New Roman" w:hAnsi="Times New Roman" w:cs="Times New Roman"/>
          <w:bCs/>
          <w:sz w:val="24"/>
          <w:szCs w:val="24"/>
        </w:rPr>
        <w:t xml:space="preserve">-03 </w:t>
      </w:r>
      <w:r w:rsidR="003B5F8E" w:rsidRPr="00A209B6">
        <w:rPr>
          <w:rFonts w:ascii="Times New Roman" w:hAnsi="Times New Roman" w:cs="Times New Roman"/>
          <w:bCs/>
          <w:sz w:val="24"/>
          <w:szCs w:val="24"/>
        </w:rPr>
        <w:t>Nr. FR-</w:t>
      </w:r>
      <w:r w:rsidR="006B6ECD">
        <w:rPr>
          <w:rFonts w:ascii="Times New Roman" w:hAnsi="Times New Roman" w:cs="Times New Roman"/>
          <w:bCs/>
          <w:sz w:val="24"/>
          <w:szCs w:val="24"/>
        </w:rPr>
        <w:t>1859</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6F218B28" w14:textId="77777777" w:rsidR="001C1040" w:rsidRPr="00077C5A" w:rsidRDefault="001C1040" w:rsidP="003B5F8E">
      <w:pPr>
        <w:widowControl w:val="0"/>
        <w:shd w:val="clear" w:color="auto" w:fill="FFFFFF"/>
        <w:ind w:left="720" w:firstLine="0"/>
        <w:rPr>
          <w:rFonts w:ascii="Times New Roman" w:hAnsi="Times New Roman" w:cs="Times New Roman"/>
          <w:bCs/>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6B6ECD"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6B6ECD"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w:t>
            </w:r>
            <w:r w:rsidRPr="00077C5A">
              <w:rPr>
                <w:rFonts w:ascii="Times New Roman" w:hAnsi="Times New Roman" w:cs="Times New Roman"/>
                <w:i/>
              </w:rPr>
              <w:lastRenderedPageBreak/>
              <w:t>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(nepasiekus / neišlaikius nors vieno projekto priežiūros rodiklio, būtina žemiau esančioje skiltyje nurodyti nepasiekimo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w:t>
      </w:r>
      <w:r w:rsidRPr="00077C5A">
        <w:rPr>
          <w:rFonts w:ascii="Times New Roman" w:hAnsi="Times New Roman" w:cs="Times New Roman"/>
          <w:i/>
        </w:rPr>
        <w:lastRenderedPageBreak/>
        <w:t>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6B6ECD"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6B6ECD"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6B6ECD">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w:t>
      </w:r>
      <w:r w:rsidR="00B2067F" w:rsidRPr="00077C5A">
        <w:rPr>
          <w:rFonts w:ascii="Times New Roman" w:hAnsi="Times New Roman" w:cs="Times New Roman"/>
          <w:i/>
        </w:rPr>
        <w:lastRenderedPageBreak/>
        <w:t xml:space="preserve">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A3171A" w:rsidRPr="00077C5A" w14:paraId="41A63815" w14:textId="77777777" w:rsidTr="006B2D0C">
        <w:tc>
          <w:tcPr>
            <w:tcW w:w="9918" w:type="dxa"/>
          </w:tcPr>
          <w:p w14:paraId="725F0095" w14:textId="77777777" w:rsidR="00A3171A" w:rsidRPr="00077C5A" w:rsidRDefault="00A3171A" w:rsidP="006B2D0C">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6B6EC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6B6EC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6B6EC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6B6ECD"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6B6EC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6B6EC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6B6ECD"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6B6ECD"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14:paraId="0A47D37E" w14:textId="77777777" w:rsidR="00F027D1" w:rsidRPr="00077C5A" w:rsidRDefault="006B6ECD"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w:t>
            </w:r>
            <w:r w:rsidR="00C97930" w:rsidRPr="00DF2FD4">
              <w:rPr>
                <w:rFonts w:ascii="Times New Roman" w:hAnsi="Times New Roman" w:cs="Times New Roman"/>
                <w:i/>
                <w:color w:val="000000"/>
              </w:rPr>
              <w:lastRenderedPageBreak/>
              <w:t xml:space="preserve">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6B6ECD"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6B6ECD"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6B6ECD"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6B6ECD"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6B6ECD"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6B6ECD"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6B6ECD"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6B6EC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6B6EC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 xml:space="preserve">(taikoma, kai paramos </w:t>
            </w:r>
            <w:r w:rsidRPr="00DF2FD4">
              <w:rPr>
                <w:rFonts w:ascii="Times New Roman" w:hAnsi="Times New Roman" w:cs="Times New Roman"/>
                <w:i/>
              </w:rPr>
              <w:lastRenderedPageBreak/>
              <w:t>lėšomis buvo įsigytas ilgalaikis turtas)</w:t>
            </w:r>
          </w:p>
        </w:tc>
        <w:tc>
          <w:tcPr>
            <w:tcW w:w="3119" w:type="dxa"/>
          </w:tcPr>
          <w:p w14:paraId="0A47D3A5" w14:textId="77777777" w:rsidR="00F4427C" w:rsidRPr="00077C5A" w:rsidRDefault="006B6EC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6B6EC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6B6ECD"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6B6EC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w:t>
            </w:r>
            <w:r w:rsidRPr="00D82353">
              <w:rPr>
                <w:rFonts w:ascii="Times New Roman" w:hAnsi="Times New Roman" w:cs="Times New Roman"/>
                <w:sz w:val="24"/>
                <w:szCs w:val="24"/>
              </w:rPr>
              <w:lastRenderedPageBreak/>
              <w:t xml:space="preserve">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6B6EC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6B6EC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6B6ECD"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6B6ECD"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6B6EC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atskaitomybės dokumentai, parengti vadovaujantis </w:t>
            </w:r>
            <w:r w:rsidRPr="00077C5A">
              <w:rPr>
                <w:rFonts w:ascii="Times New Roman" w:hAnsi="Times New Roman" w:cs="Times New Roman"/>
                <w:sz w:val="24"/>
                <w:szCs w:val="24"/>
              </w:rPr>
              <w:lastRenderedPageBreak/>
              <w:t>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7CE0A53B" w14:textId="77777777" w:rsidR="001C1040" w:rsidRDefault="001C1040" w:rsidP="0097233D">
      <w:pPr>
        <w:widowControl w:val="0"/>
        <w:shd w:val="clear" w:color="auto" w:fill="FFFFFF"/>
        <w:jc w:val="both"/>
        <w:rPr>
          <w:rFonts w:ascii="Times New Roman" w:hAnsi="Times New Roman" w:cs="Times New Roman"/>
          <w:b/>
          <w:sz w:val="24"/>
          <w:szCs w:val="24"/>
        </w:rPr>
      </w:pPr>
    </w:p>
    <w:p w14:paraId="2F483CF3" w14:textId="77777777" w:rsidR="001C1040" w:rsidRDefault="001C1040" w:rsidP="0097233D">
      <w:pPr>
        <w:widowControl w:val="0"/>
        <w:shd w:val="clear" w:color="auto" w:fill="FFFFFF"/>
        <w:jc w:val="both"/>
        <w:rPr>
          <w:rFonts w:ascii="Times New Roman" w:hAnsi="Times New Roman" w:cs="Times New Roman"/>
          <w:b/>
          <w:sz w:val="24"/>
          <w:szCs w:val="24"/>
        </w:rPr>
      </w:pPr>
    </w:p>
    <w:p w14:paraId="00CDA635" w14:textId="77777777" w:rsidR="001C1040" w:rsidRDefault="001C1040" w:rsidP="0097233D">
      <w:pPr>
        <w:widowControl w:val="0"/>
        <w:shd w:val="clear" w:color="auto" w:fill="FFFFFF"/>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lastRenderedPageBreak/>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7D44E" w14:textId="77777777" w:rsidR="004F047D" w:rsidRDefault="004F047D" w:rsidP="00183EE7">
      <w:r>
        <w:separator/>
      </w:r>
    </w:p>
  </w:endnote>
  <w:endnote w:type="continuationSeparator" w:id="0">
    <w:p w14:paraId="0A47D44F" w14:textId="77777777" w:rsidR="004F047D" w:rsidRDefault="004F047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7D44C" w14:textId="77777777" w:rsidR="004F047D" w:rsidRDefault="004F047D" w:rsidP="00183EE7">
      <w:r>
        <w:separator/>
      </w:r>
    </w:p>
  </w:footnote>
  <w:footnote w:type="continuationSeparator" w:id="0">
    <w:p w14:paraId="0A47D44D" w14:textId="77777777" w:rsidR="004F047D" w:rsidRDefault="004F047D"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4F047D" w:rsidRPr="00183EE7" w:rsidRDefault="004F047D">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4F047D" w:rsidRDefault="004F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20216</Words>
  <Characters>11524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19</cp:revision>
  <dcterms:created xsi:type="dcterms:W3CDTF">2023-02-20T15:44:00Z</dcterms:created>
  <dcterms:modified xsi:type="dcterms:W3CDTF">2023-03-03T13:40:00Z</dcterms:modified>
</cp:coreProperties>
</file>